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44CDDA4" w:rsidR="00D6147A" w:rsidRDefault="00341AD7" w:rsidP="00341AD7">
      <w:hyperlink r:id="rId6" w:history="1">
        <w:r w:rsidRPr="009A3DD9">
          <w:rPr>
            <w:rStyle w:val="Collegamentoipertestuale"/>
          </w:rPr>
          <w:t>https://www.borsaitaliana.it/borsa/notizie/radiocor/prima-pagina/dettaglio/assiom-forex-mocio-2025-pieno-di-sfide-ma-siamo-fiduciosi-nRC_15022025_1131_217107632.html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36A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3D7B"/>
    <w:rsid w:val="00F94707"/>
    <w:rsid w:val="00F95B5A"/>
    <w:rsid w:val="00F97B89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prima-pagina/dettaglio/assiom-forex-mocio-2025-pieno-di-sfide-ma-siamo-fiduciosi-nRC_15022025_1131_21710763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2025-02-19T15:18:00Z</dcterms:created>
  <dcterms:modified xsi:type="dcterms:W3CDTF">2025-02-19T15:18:00Z</dcterms:modified>
</cp:coreProperties>
</file>